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2FDED" w14:textId="4127209F" w:rsidR="009B6963" w:rsidRDefault="009B6963" w:rsidP="009B6963">
      <w:pPr>
        <w:jc w:val="right"/>
        <w:rPr>
          <w:rFonts w:asciiTheme="majorHAnsi" w:hAnsiTheme="majorHAnsi" w:cstheme="majorHAnsi"/>
          <w:sz w:val="24"/>
          <w:szCs w:val="24"/>
        </w:rPr>
      </w:pPr>
      <w:r w:rsidRPr="009B6963">
        <w:rPr>
          <w:rFonts w:ascii="Times New Roman" w:eastAsia="Times New Roman" w:hAnsi="Times New Roman" w:cs="Times New Roman"/>
          <w:bCs/>
          <w:iCs/>
          <w:sz w:val="18"/>
          <w:szCs w:val="18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Cs/>
          <w:iCs/>
          <w:sz w:val="18"/>
          <w:szCs w:val="18"/>
          <w:lang w:eastAsia="pl-PL"/>
        </w:rPr>
        <w:t>1</w:t>
      </w:r>
      <w:r w:rsidRPr="009B6963">
        <w:rPr>
          <w:rFonts w:ascii="Times New Roman" w:eastAsia="Times New Roman" w:hAnsi="Times New Roman" w:cs="Times New Roman"/>
          <w:bCs/>
          <w:iCs/>
          <w:sz w:val="18"/>
          <w:szCs w:val="18"/>
          <w:lang w:eastAsia="pl-PL"/>
        </w:rPr>
        <w:t xml:space="preserve"> do </w:t>
      </w:r>
      <w:r>
        <w:rPr>
          <w:rFonts w:ascii="Times New Roman" w:eastAsia="Times New Roman" w:hAnsi="Times New Roman" w:cs="Times New Roman"/>
          <w:bCs/>
          <w:iCs/>
          <w:sz w:val="18"/>
          <w:szCs w:val="18"/>
          <w:lang w:eastAsia="pl-PL"/>
        </w:rPr>
        <w:t>Zapytania Ofertowego</w:t>
      </w:r>
    </w:p>
    <w:p w14:paraId="517E3CA0" w14:textId="77777777" w:rsidR="00074F0A" w:rsidRDefault="00074F0A" w:rsidP="00074F0A">
      <w:pPr>
        <w:rPr>
          <w:rFonts w:ascii="Calibri Light" w:hAnsi="Calibri Light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Zamawiający wymaga przeprowadzenia przez wybranego wykonawcę przeprowadzenia wizji lokalnej w celu potwierdzenia możliwości instalacji proponowanych rozwiązań technicznych w szafach teleinformatycznych zamawiającego oraz podłączenia w sieci wewnętrznej.</w:t>
      </w:r>
    </w:p>
    <w:p w14:paraId="72E8AC06" w14:textId="77777777" w:rsidR="00074F0A" w:rsidRDefault="00074F0A" w:rsidP="00074F0A">
      <w:pPr>
        <w:spacing w:after="0" w:line="240" w:lineRule="auto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Przedmiot zamówienia:</w:t>
      </w:r>
    </w:p>
    <w:p w14:paraId="631C6394" w14:textId="77777777" w:rsidR="00074F0A" w:rsidRDefault="00074F0A" w:rsidP="00074F0A">
      <w:pPr>
        <w:spacing w:after="0" w:line="240" w:lineRule="auto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- dostarczenie, montaż, instalacja i konfiguracja centrali telefonicznej w istniejącej szafie </w:t>
      </w:r>
      <w:proofErr w:type="spellStart"/>
      <w:r>
        <w:rPr>
          <w:rFonts w:ascii="Calibri Light" w:hAnsi="Calibri Light"/>
          <w:sz w:val="24"/>
          <w:szCs w:val="24"/>
        </w:rPr>
        <w:t>rack</w:t>
      </w:r>
      <w:proofErr w:type="spellEnd"/>
      <w:r>
        <w:rPr>
          <w:rFonts w:ascii="Calibri Light" w:hAnsi="Calibri Light"/>
          <w:sz w:val="24"/>
          <w:szCs w:val="24"/>
        </w:rPr>
        <w:t xml:space="preserve"> 19”,</w:t>
      </w:r>
    </w:p>
    <w:p w14:paraId="53251947" w14:textId="77777777" w:rsidR="00074F0A" w:rsidRDefault="00074F0A" w:rsidP="00074F0A">
      <w:pPr>
        <w:spacing w:after="0" w:line="240" w:lineRule="auto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- dostarczenie, montaż, instalacja i konfiguracja telefonów IP w siedzibie/bach zamawiającego,</w:t>
      </w:r>
    </w:p>
    <w:p w14:paraId="5147A3F1" w14:textId="77777777" w:rsidR="00074F0A" w:rsidRDefault="00074F0A" w:rsidP="00074F0A">
      <w:pPr>
        <w:spacing w:after="0" w:line="240" w:lineRule="auto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- sprzęt musi być fabrycznie nowy, objęty gwarancją producenta,</w:t>
      </w:r>
    </w:p>
    <w:p w14:paraId="446924A6" w14:textId="77777777" w:rsidR="00074F0A" w:rsidRDefault="00074F0A" w:rsidP="00074F0A">
      <w:pPr>
        <w:spacing w:after="0" w:line="240" w:lineRule="auto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- </w:t>
      </w:r>
      <w:proofErr w:type="spellStart"/>
      <w:r>
        <w:rPr>
          <w:rFonts w:ascii="Calibri Light" w:hAnsi="Calibri Light"/>
          <w:sz w:val="24"/>
          <w:szCs w:val="24"/>
        </w:rPr>
        <w:t>krosowanie</w:t>
      </w:r>
      <w:proofErr w:type="spellEnd"/>
      <w:r>
        <w:rPr>
          <w:rFonts w:ascii="Calibri Light" w:hAnsi="Calibri Light"/>
          <w:sz w:val="24"/>
          <w:szCs w:val="24"/>
        </w:rPr>
        <w:t xml:space="preserve"> – połączenie systemu (centrali i telefonów) z istniejącą siecią wewnętrzną Urzędu – dostarczenie </w:t>
      </w:r>
      <w:proofErr w:type="spellStart"/>
      <w:r>
        <w:rPr>
          <w:rFonts w:ascii="Calibri Light" w:hAnsi="Calibri Light"/>
          <w:sz w:val="24"/>
          <w:szCs w:val="24"/>
        </w:rPr>
        <w:t>patchcordów</w:t>
      </w:r>
      <w:proofErr w:type="spellEnd"/>
      <w:r>
        <w:rPr>
          <w:rFonts w:ascii="Calibri Light" w:hAnsi="Calibri Light"/>
          <w:sz w:val="24"/>
          <w:szCs w:val="24"/>
        </w:rPr>
        <w:t xml:space="preserve"> połączeniowych UTP kat. 5e RJ45-RJ45 o dł. 2m,</w:t>
      </w:r>
    </w:p>
    <w:p w14:paraId="10AFD4D1" w14:textId="77777777" w:rsidR="00074F0A" w:rsidRDefault="00074F0A" w:rsidP="00074F0A">
      <w:pPr>
        <w:spacing w:after="0" w:line="240" w:lineRule="auto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- podłączenie linii SIP </w:t>
      </w:r>
      <w:proofErr w:type="spellStart"/>
      <w:r>
        <w:rPr>
          <w:rFonts w:ascii="Calibri Light" w:hAnsi="Calibri Light"/>
          <w:sz w:val="24"/>
          <w:szCs w:val="24"/>
        </w:rPr>
        <w:t>Trunk</w:t>
      </w:r>
      <w:proofErr w:type="spellEnd"/>
      <w:r>
        <w:rPr>
          <w:rFonts w:ascii="Calibri Light" w:hAnsi="Calibri Light"/>
          <w:sz w:val="24"/>
          <w:szCs w:val="24"/>
        </w:rPr>
        <w:t>,</w:t>
      </w:r>
    </w:p>
    <w:p w14:paraId="4484079A" w14:textId="77777777" w:rsidR="00074F0A" w:rsidRDefault="00074F0A" w:rsidP="00074F0A">
      <w:pPr>
        <w:spacing w:after="0" w:line="240" w:lineRule="auto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- przeszkolenie użytkowników oraz informatyków w zakresie obsługi aparatów telefonicznych,  przeszkolenie informatyków z podstawowych funkcji zarządzania centralą (zmiana nazwy wyświetlanej, edycja książki telefonicznej, zmiana zapowiedzi automatycznej),</w:t>
      </w:r>
    </w:p>
    <w:p w14:paraId="18248932" w14:textId="77777777" w:rsidR="00074F0A" w:rsidRPr="00303008" w:rsidRDefault="00074F0A" w:rsidP="00074F0A">
      <w:pPr>
        <w:suppressAutoHyphens w:val="0"/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303008">
        <w:rPr>
          <w:rFonts w:asciiTheme="majorHAnsi" w:eastAsia="Times New Roman" w:hAnsiTheme="majorHAnsi" w:cstheme="majorHAnsi"/>
          <w:sz w:val="24"/>
          <w:szCs w:val="24"/>
          <w:lang w:eastAsia="pl-PL"/>
        </w:rPr>
        <w:t>- całość sprzętu ( centrala plus telefony muszą pochodzić od tego samego producenta)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,</w:t>
      </w:r>
      <w:r w:rsidRPr="0030300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</w:p>
    <w:p w14:paraId="4CB00C5E" w14:textId="77777777" w:rsidR="00074F0A" w:rsidRPr="00303008" w:rsidRDefault="00074F0A" w:rsidP="00074F0A">
      <w:pPr>
        <w:suppressAutoHyphens w:val="0"/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30300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- gwarancja na całość sprzętu min. 24 miesiące, gwarancyjna opieka serwisowa w siedzibie </w:t>
      </w:r>
    </w:p>
    <w:p w14:paraId="18D75DC0" w14:textId="77777777" w:rsidR="00074F0A" w:rsidRPr="00303008" w:rsidRDefault="00074F0A" w:rsidP="00074F0A">
      <w:pPr>
        <w:suppressAutoHyphens w:val="0"/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303008">
        <w:rPr>
          <w:rFonts w:asciiTheme="majorHAnsi" w:eastAsia="Times New Roman" w:hAnsiTheme="majorHAnsi" w:cstheme="majorHAnsi"/>
          <w:sz w:val="24"/>
          <w:szCs w:val="24"/>
          <w:lang w:eastAsia="pl-PL"/>
        </w:rPr>
        <w:t>Zamawiającego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,</w:t>
      </w:r>
      <w:r w:rsidRPr="0030300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</w:p>
    <w:p w14:paraId="19343BEF" w14:textId="77777777" w:rsidR="00074F0A" w:rsidRPr="00303008" w:rsidRDefault="00074F0A" w:rsidP="00074F0A">
      <w:pPr>
        <w:suppressAutoHyphens w:val="0"/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303008">
        <w:rPr>
          <w:rFonts w:asciiTheme="majorHAnsi" w:eastAsia="Times New Roman" w:hAnsiTheme="majorHAnsi" w:cstheme="majorHAnsi"/>
          <w:sz w:val="24"/>
          <w:szCs w:val="24"/>
          <w:lang w:eastAsia="pl-PL"/>
        </w:rPr>
        <w:t>- usługi VOIP ( SIP TRUNK)  dedykowane dla oferowanej centrali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,</w:t>
      </w:r>
      <w:r w:rsidRPr="0030300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</w:p>
    <w:p w14:paraId="10B02B6A" w14:textId="2DD40310" w:rsidR="00074F0A" w:rsidRDefault="00074F0A" w:rsidP="000E5184">
      <w:pPr>
        <w:suppressAutoHyphens w:val="0"/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303008">
        <w:rPr>
          <w:rFonts w:asciiTheme="majorHAnsi" w:eastAsia="Times New Roman" w:hAnsiTheme="majorHAnsi" w:cstheme="majorHAnsi"/>
          <w:sz w:val="24"/>
          <w:szCs w:val="24"/>
          <w:lang w:eastAsia="pl-PL"/>
        </w:rPr>
        <w:t>- gwarancja awaryjnego działania wybranych nr telefonów w przypadku awarii łącza internetowego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.</w:t>
      </w:r>
    </w:p>
    <w:p w14:paraId="39864E43" w14:textId="77777777" w:rsidR="000E5184" w:rsidRPr="000E5184" w:rsidRDefault="000E5184" w:rsidP="000E5184">
      <w:pPr>
        <w:suppressAutoHyphens w:val="0"/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712E2BEF" w14:textId="159BAFB3" w:rsidR="005E1CEE" w:rsidRDefault="003A7FAC">
      <w:pPr>
        <w:rPr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Parametry centrali:</w:t>
      </w:r>
    </w:p>
    <w:p w14:paraId="1358708E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standard obudowy 1U centrali z możliwością montażu w szafie RACK,</w:t>
      </w:r>
    </w:p>
    <w:p w14:paraId="42E2AD76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zasilanie centrali 230V, zgodność ze standardem IEC, Ethernet,</w:t>
      </w:r>
    </w:p>
    <w:p w14:paraId="0D255259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- ilość abonentów - 51, </w:t>
      </w:r>
    </w:p>
    <w:p w14:paraId="6BD4E8EF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maksymalna ilość jednoczesnych kanałów/rozmów głosowych na zewnątrz - 20,</w:t>
      </w:r>
    </w:p>
    <w:p w14:paraId="61F91966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- min. ilość obsługiwanych SIP Trunków - 2, </w:t>
      </w:r>
    </w:p>
    <w:p w14:paraId="2C505292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ilość obsługiwanych kont SIP – 51,</w:t>
      </w:r>
    </w:p>
    <w:p w14:paraId="207C6FD3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obsługa DDI/MSN,</w:t>
      </w:r>
    </w:p>
    <w:p w14:paraId="60DAC1C0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możliwość szyfrowania połączeń wideo/głos np. obsługa SRTP, TLS,</w:t>
      </w:r>
    </w:p>
    <w:p w14:paraId="4347C342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- książka telefoniczna publiczna i prywatna, maksymalnie 30 000 wpisów, </w:t>
      </w:r>
    </w:p>
    <w:p w14:paraId="331A9305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- interfejs GUI do samodzielnego zarządzania (edycja wspólnej książki, edycja ustawień funkcji telefonów np. przekierowania na inny numer, możliwość edycji IVR i nagrywania/zmiany zapowiedzi automatycznej, możliwość wydruku aktualnej listy telefonów, możliwość wydruku listy połączeń z ostatniego miesiąca, możliwość wydruku zestawienia połączeń odebranych i nieodebranych) – zamawiający dopuszcza możliwość logowania do systemu PBX przez konsolę web lub oprogramowanie dedykowane instalowane w środowisku Windows 10, możliwość samodzielnego zarządzania funkcjami centrali takimi jak – zmiana SIP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Trunk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, edycja książki telefonicznej, edycja ustawień numeru (min. zmiana imienia i nazwiska operatora), zmiana przekierowania połączenia na wybrany wewnętrzny lub zewnętrzny numer, zmiana zapowiedzi automatycznej,</w:t>
      </w:r>
    </w:p>
    <w:p w14:paraId="1D86EAB4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ustawienie w centrali godzin pracy biura dla każdego dnia tygodnia, w dni wolne lub poza godzinami pracy możliwość ustawienia automatycznej zapowiedzi głosowej dla całego systemu,</w:t>
      </w:r>
    </w:p>
    <w:p w14:paraId="5BE6C498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- praca w istniejącej sieci LAN dla całego systemu, </w:t>
      </w:r>
    </w:p>
    <w:p w14:paraId="3F10E6D1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lastRenderedPageBreak/>
        <w:t xml:space="preserve">- opcjonalnie obsługa baz producenta centrali zgodnych ze standardem DECT do słuchawek przewodowych z funkcją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roamingu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,</w:t>
      </w:r>
    </w:p>
    <w:p w14:paraId="0673B37A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skalowalność systemu i możliwość jego rozbudowy</w:t>
      </w:r>
    </w:p>
    <w:p w14:paraId="1FB8F0BE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- 46 telefonów na biurkowych współpracujących z centralą (m.in. obsługa przekazywania rozmów, wspólna książka telefoniczna, przekierowanie połączeń wewnątrz i na zewnątrz)  z dedykowanym zasilaczem,</w:t>
      </w:r>
    </w:p>
    <w:p w14:paraId="14F85CF4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- 4 telefony na biurkowe z panelami operatorskimi z dedykowanym zasilaczem,</w:t>
      </w:r>
    </w:p>
    <w:p w14:paraId="424628B8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dedykowana aplikacja Android – telefon SIP, możliwość przyłączenia/przekierowania numeru z centrali do Smartphone z systemem Android,</w:t>
      </w:r>
    </w:p>
    <w:p w14:paraId="1894EB52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obsługa funkcji Fax2mail,</w:t>
      </w:r>
    </w:p>
    <w:p w14:paraId="24145F6A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opcjonalna możliwość nagrywania rozmów z poziomu centrali do maksymalnie 20 jednoczesnych nagrań,</w:t>
      </w:r>
    </w:p>
    <w:p w14:paraId="3C9D28F2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opcjonalna możliwość podłączenia bramki GSM,</w:t>
      </w:r>
    </w:p>
    <w:p w14:paraId="743891AB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obsługa oraz interfejs w języku polskim,</w:t>
      </w:r>
    </w:p>
    <w:p w14:paraId="39395172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zasilanie awaryjne centrali min. 2h, wymagane akumulatory bezobsługowe.</w:t>
      </w:r>
    </w:p>
    <w:p w14:paraId="66F653DC" w14:textId="77777777" w:rsidR="005E1CEE" w:rsidRDefault="005E1CEE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12FC09C6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Parametry telefonu:</w:t>
      </w:r>
    </w:p>
    <w:p w14:paraId="6A0FA527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wbudowany wyświetlacz LCD,</w:t>
      </w:r>
    </w:p>
    <w:p w14:paraId="753FBA28" w14:textId="46861958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- wbudowany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switch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min. 2 porty </w:t>
      </w:r>
      <w:r w:rsidR="00AF53B4">
        <w:rPr>
          <w:rFonts w:asciiTheme="majorHAnsi" w:eastAsia="Times New Roman" w:hAnsiTheme="majorHAnsi" w:cstheme="majorHAnsi"/>
          <w:sz w:val="24"/>
          <w:szCs w:val="24"/>
          <w:lang w:eastAsia="pl-PL"/>
        </w:rPr>
        <w:t>min. 10/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100Mbps,</w:t>
      </w:r>
    </w:p>
    <w:p w14:paraId="28D58D70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obsługa do 2 kont SIP,</w:t>
      </w:r>
    </w:p>
    <w:p w14:paraId="239FD3BC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klawiatura numeryczna z przyciskami funkcyjnymi,</w:t>
      </w:r>
    </w:p>
    <w:p w14:paraId="458AA92A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- możliwość zasilania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PoE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802.3af jak i dedykowanym zasilaczem,</w:t>
      </w:r>
    </w:p>
    <w:p w14:paraId="7388903D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- obsługa podtrzymania połączeń, wyciszenia mikrofonu, wyciszenie dzwonka, </w:t>
      </w:r>
    </w:p>
    <w:p w14:paraId="59126826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dioda sygnalizująca stan połączenia,</w:t>
      </w:r>
    </w:p>
    <w:p w14:paraId="32325A8A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- funkcja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redial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, możliwość połączenia konferencyjnego,</w:t>
      </w:r>
    </w:p>
    <w:p w14:paraId="50C826B7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- obsługa kodeków: G.722, G.711(A/u), G.729AB, G.723, G.726-32,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iLBC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,</w:t>
      </w:r>
    </w:p>
    <w:p w14:paraId="2982185E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obsługa zdalnej książki telefonicznej XML,LDAP,</w:t>
      </w:r>
    </w:p>
    <w:p w14:paraId="7EED9879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wbudowana książka telefoniczna do 1000 wpisów, obsługa wyszukiwania,</w:t>
      </w:r>
    </w:p>
    <w:p w14:paraId="7BFF6159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- historia połączeń – wybieranych/odebranych/nieodebranych/przekazanych,  </w:t>
      </w:r>
    </w:p>
    <w:p w14:paraId="0F469C3B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- obsługa i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i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interfejs w języku polskim,</w:t>
      </w:r>
    </w:p>
    <w:p w14:paraId="22E43184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możliwość podłączenia słuchawki nagłownej,</w:t>
      </w:r>
    </w:p>
    <w:p w14:paraId="274C63A1" w14:textId="6D315BBA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- </w:t>
      </w:r>
      <w:r w:rsidR="005F58D3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opcjonalna 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możliwość zarządzania przez przeglądarkę, z panelu lokalnego jak i poprzez funkcję auto-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provision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z centrali telefonicznej,</w:t>
      </w:r>
    </w:p>
    <w:p w14:paraId="3896E6B0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możliwość blokady PIN,</w:t>
      </w:r>
    </w:p>
    <w:p w14:paraId="101CC78E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- obsługa protokołów sieciowych takich jak: HTTPS,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QoS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, SRTP, DHCP,</w:t>
      </w:r>
    </w:p>
    <w:p w14:paraId="3B204F5A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regulacja głośności,</w:t>
      </w:r>
    </w:p>
    <w:p w14:paraId="61911572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jednolita kolorystyka np. czarna/szara</w:t>
      </w:r>
    </w:p>
    <w:p w14:paraId="15F0A9E2" w14:textId="77777777" w:rsidR="005E1CEE" w:rsidRDefault="005E1CEE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4CB1F30E" w14:textId="77777777" w:rsidR="005E1CEE" w:rsidRDefault="003A7FAC">
      <w:pPr>
        <w:spacing w:after="0" w:line="240" w:lineRule="auto"/>
      </w:pP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Parametry telefonu z panelem operatorskim:</w:t>
      </w:r>
    </w:p>
    <w:p w14:paraId="61C64384" w14:textId="77777777" w:rsidR="005E1CEE" w:rsidRDefault="003A7FAC">
      <w:pPr>
        <w:spacing w:after="0" w:line="240" w:lineRule="auto"/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wbudowany panel operatorski z programowalnymi przyciskami min. 20 z możliwością przypisania numerów z książki telefonicznej, sygnalizacja diodą zajętości numeru wewnętrznego na panelu operatorskim,</w:t>
      </w:r>
    </w:p>
    <w:p w14:paraId="0E18FA38" w14:textId="77777777" w:rsidR="005E1CEE" w:rsidRDefault="003A7FAC">
      <w:pPr>
        <w:spacing w:after="0" w:line="240" w:lineRule="auto"/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możliwość rozbudowy o dodatkową konsolę operatorską z dodatkowymi przyciskami programowalnymi,</w:t>
      </w:r>
    </w:p>
    <w:p w14:paraId="6F43F2F5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wbudowany wyświetlacz LCD,</w:t>
      </w:r>
    </w:p>
    <w:p w14:paraId="1CCC9F30" w14:textId="3E6C27AD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- wbudowany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switch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min. 2 porty </w:t>
      </w:r>
      <w:r w:rsidR="00AF53B4">
        <w:rPr>
          <w:rFonts w:asciiTheme="majorHAnsi" w:eastAsia="Times New Roman" w:hAnsiTheme="majorHAnsi" w:cstheme="majorHAnsi"/>
          <w:sz w:val="24"/>
          <w:szCs w:val="24"/>
          <w:lang w:eastAsia="pl-PL"/>
        </w:rPr>
        <w:t>min. 10/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100Mbps,</w:t>
      </w:r>
    </w:p>
    <w:p w14:paraId="7103A36A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obsługa do 2 kont SIP,</w:t>
      </w:r>
    </w:p>
    <w:p w14:paraId="33A11571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lastRenderedPageBreak/>
        <w:t>- klawiatura numeryczna z przyciskami funkcyjnymi,</w:t>
      </w:r>
    </w:p>
    <w:p w14:paraId="45C0544F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- możliwość zasilania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PoE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802.3af jak i dedykowanym zasilaczem,</w:t>
      </w:r>
    </w:p>
    <w:p w14:paraId="7E6F46BE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- obsługa podtrzymania połączeń, wyciszenia mikrofonu, wyciszenie dzwonka, </w:t>
      </w:r>
    </w:p>
    <w:p w14:paraId="0DF9E462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dioda sygnalizująca stan połączenia,</w:t>
      </w:r>
    </w:p>
    <w:p w14:paraId="46BB32BB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- funkcja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redial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, możliwość połączenia konferencyjnego,</w:t>
      </w:r>
    </w:p>
    <w:p w14:paraId="16961371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- obsługa kodeków: G.722, G.711(A/u), G.729AB, G.723, G.726-32,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iLBC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,</w:t>
      </w:r>
    </w:p>
    <w:p w14:paraId="167491EC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obsługa zdalnej książki telefonicznej XML,LDAP,</w:t>
      </w:r>
    </w:p>
    <w:p w14:paraId="110EC33C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wbudowana książka telefoniczna do 1000 wpisów, obsługa wyszukiwania,</w:t>
      </w:r>
    </w:p>
    <w:p w14:paraId="7E64869F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- historia połączeń – wybieranych/odebranych/nieodebranych/przekazanych,  </w:t>
      </w:r>
    </w:p>
    <w:p w14:paraId="718D79F2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- obsługa i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i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interfejs w języku polskim,</w:t>
      </w:r>
    </w:p>
    <w:p w14:paraId="5B8C203D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możliwość podłączenia słuchawki nagłownej, możliwość podłączenia zestawu słuchawkowego za pomocą Bluetooth,</w:t>
      </w:r>
    </w:p>
    <w:p w14:paraId="29BDB095" w14:textId="6786FF80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- </w:t>
      </w:r>
      <w:r w:rsidR="005F58D3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opcjonalna 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możliwość zarządzania przez przeglądarkę, z panelu lokalnego jak i poprzez funkcję auto-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provision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z centrali telefonicznej,</w:t>
      </w:r>
    </w:p>
    <w:p w14:paraId="6D2C1799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możliwość blokady PIN,</w:t>
      </w:r>
    </w:p>
    <w:p w14:paraId="4F922FC2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- obsługa protokołów sieciowych takich jak: HTTPS,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QoS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, SRTP, DHCP,</w:t>
      </w:r>
    </w:p>
    <w:p w14:paraId="363F03F6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 regulacja głośności,</w:t>
      </w:r>
    </w:p>
    <w:p w14:paraId="374675B2" w14:textId="7CBEEE5D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="Calibri Light" w:eastAsia="Times New Roman" w:hAnsi="Calibri Light" w:cstheme="majorHAnsi"/>
          <w:b/>
          <w:bCs/>
          <w:sz w:val="24"/>
          <w:szCs w:val="24"/>
          <w:lang w:eastAsia="pl-PL"/>
        </w:rPr>
        <w:t xml:space="preserve">- </w:t>
      </w:r>
      <w:r>
        <w:rPr>
          <w:rFonts w:ascii="Calibri Light" w:eastAsia="Times New Roman" w:hAnsi="Calibri Light" w:cstheme="majorHAnsi"/>
          <w:sz w:val="24"/>
          <w:szCs w:val="24"/>
          <w:lang w:eastAsia="pl-PL"/>
        </w:rPr>
        <w:t>jednolita kolorystyka np. czarna/szara</w:t>
      </w:r>
    </w:p>
    <w:p w14:paraId="251DECC1" w14:textId="77777777" w:rsidR="005E1CEE" w:rsidRDefault="003A7FAC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>
        <w:rPr>
          <w:rFonts w:ascii="Calibri Light" w:eastAsia="Times New Roman" w:hAnsi="Calibri Light" w:cstheme="majorHAnsi"/>
          <w:b/>
          <w:bCs/>
          <w:sz w:val="24"/>
          <w:szCs w:val="24"/>
          <w:lang w:eastAsia="pl-PL"/>
        </w:rPr>
        <w:t xml:space="preserve">Dedykowane zasilacze do telefonów jak wyżej. </w:t>
      </w:r>
    </w:p>
    <w:p w14:paraId="278750BC" w14:textId="4D6E4092" w:rsidR="005E1CEE" w:rsidRPr="00771444" w:rsidRDefault="003A7FAC" w:rsidP="00771444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Wszystkie oferowane urządzenia muszą posiadać znak bezpieczeństwa CE oraz niezbędne certyfikaty.</w:t>
      </w:r>
    </w:p>
    <w:sectPr w:rsidR="005E1CEE" w:rsidRPr="00771444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to Sans">
    <w:altName w:val="Noto Sans"/>
    <w:charset w:val="00"/>
    <w:family w:val="swiss"/>
    <w:pitch w:val="variable"/>
    <w:sig w:usb0="E00082FF" w:usb1="400078FF" w:usb2="00000021" w:usb3="00000000" w:csb0="0000019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1CEE"/>
    <w:rsid w:val="00074F0A"/>
    <w:rsid w:val="000E5184"/>
    <w:rsid w:val="001B74B9"/>
    <w:rsid w:val="00303008"/>
    <w:rsid w:val="003A7FAC"/>
    <w:rsid w:val="005E1CEE"/>
    <w:rsid w:val="005F58D3"/>
    <w:rsid w:val="0069158A"/>
    <w:rsid w:val="00771444"/>
    <w:rsid w:val="009B6963"/>
    <w:rsid w:val="00AC7DD7"/>
    <w:rsid w:val="00AF53B4"/>
    <w:rsid w:val="00E41D82"/>
    <w:rsid w:val="00FD5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35B4"/>
  <w15:docId w15:val="{EDB63E7B-7093-4B84-84B3-59431E703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Calibri" w:eastAsia="Microsoft YaHei" w:hAnsi="Calibri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ascii="Calibri" w:hAnsi="Calibri"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Calibri" w:hAnsi="Calibri"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Calibri" w:hAnsi="Calibri" w:cs="Arial"/>
    </w:rPr>
  </w:style>
  <w:style w:type="paragraph" w:customStyle="1" w:styleId="Domylnystylrysowania">
    <w:name w:val="Domyślny styl rysowania"/>
    <w:qFormat/>
    <w:pPr>
      <w:spacing w:after="160" w:line="259" w:lineRule="auto"/>
    </w:pPr>
    <w:rPr>
      <w:rFonts w:ascii="Liberation Serif" w:eastAsia="Tahoma" w:hAnsi="Liberation Serif" w:cs="Noto Sans"/>
      <w:sz w:val="24"/>
      <w:szCs w:val="24"/>
    </w:rPr>
  </w:style>
  <w:style w:type="paragraph" w:customStyle="1" w:styleId="Obiektbezwypenienia">
    <w:name w:val="Obiekt bez wypełnienia"/>
    <w:basedOn w:val="Domylnystylrysowania"/>
    <w:qFormat/>
  </w:style>
  <w:style w:type="paragraph" w:customStyle="1" w:styleId="Obiektbezwypenieniaibezlinii">
    <w:name w:val="Obiekt bez wypełnienia i bez linii"/>
    <w:basedOn w:val="Domylnystylrysowania"/>
    <w:qFormat/>
  </w:style>
  <w:style w:type="paragraph" w:customStyle="1" w:styleId="A4">
    <w:name w:val="A4"/>
    <w:basedOn w:val="Tekst"/>
    <w:qFormat/>
    <w:rPr>
      <w:rFonts w:ascii="Noto Sans" w:hAnsi="Noto Sans"/>
      <w:sz w:val="36"/>
    </w:rPr>
  </w:style>
  <w:style w:type="paragraph" w:customStyle="1" w:styleId="Tekst">
    <w:name w:val="Tekst"/>
    <w:basedOn w:val="Legenda"/>
    <w:qFormat/>
  </w:style>
  <w:style w:type="paragraph" w:customStyle="1" w:styleId="TytuA4">
    <w:name w:val="Tytuł A4"/>
    <w:basedOn w:val="A4"/>
    <w:qFormat/>
    <w:rPr>
      <w:sz w:val="87"/>
    </w:rPr>
  </w:style>
  <w:style w:type="paragraph" w:customStyle="1" w:styleId="NagwekA4">
    <w:name w:val="Nagłówek A4"/>
    <w:basedOn w:val="A4"/>
    <w:qFormat/>
    <w:rPr>
      <w:sz w:val="48"/>
    </w:rPr>
  </w:style>
  <w:style w:type="paragraph" w:customStyle="1" w:styleId="TekstA4">
    <w:name w:val="Tekst A4"/>
    <w:basedOn w:val="A4"/>
    <w:qFormat/>
  </w:style>
  <w:style w:type="paragraph" w:customStyle="1" w:styleId="A0">
    <w:name w:val="A0"/>
    <w:basedOn w:val="Tekst"/>
    <w:qFormat/>
    <w:rPr>
      <w:rFonts w:ascii="Noto Sans" w:hAnsi="Noto Sans"/>
      <w:sz w:val="95"/>
    </w:rPr>
  </w:style>
  <w:style w:type="paragraph" w:customStyle="1" w:styleId="TytuA0">
    <w:name w:val="Tytuł A0"/>
    <w:basedOn w:val="A0"/>
    <w:qFormat/>
    <w:rPr>
      <w:sz w:val="191"/>
    </w:rPr>
  </w:style>
  <w:style w:type="paragraph" w:customStyle="1" w:styleId="NagwekA0">
    <w:name w:val="Nagłówek A0"/>
    <w:basedOn w:val="A0"/>
    <w:qFormat/>
    <w:rPr>
      <w:sz w:val="143"/>
    </w:rPr>
  </w:style>
  <w:style w:type="paragraph" w:customStyle="1" w:styleId="TekstA0">
    <w:name w:val="Tekst A0"/>
    <w:basedOn w:val="A0"/>
    <w:qFormat/>
  </w:style>
  <w:style w:type="paragraph" w:customStyle="1" w:styleId="Grafika">
    <w:name w:val="Grafika"/>
    <w:qFormat/>
    <w:pPr>
      <w:spacing w:after="160" w:line="259" w:lineRule="auto"/>
    </w:pPr>
    <w:rPr>
      <w:rFonts w:ascii="Liberation Sans" w:eastAsia="Tahoma" w:hAnsi="Liberation Sans" w:cs="Noto Sans"/>
      <w:sz w:val="36"/>
      <w:szCs w:val="24"/>
    </w:rPr>
  </w:style>
  <w:style w:type="paragraph" w:customStyle="1" w:styleId="Ksztaty">
    <w:name w:val="Kształty"/>
    <w:basedOn w:val="Grafika"/>
    <w:qFormat/>
    <w:rPr>
      <w:b/>
      <w:sz w:val="28"/>
    </w:rPr>
  </w:style>
  <w:style w:type="paragraph" w:customStyle="1" w:styleId="Wypenione">
    <w:name w:val="Wypełnione"/>
    <w:basedOn w:val="Ksztaty"/>
    <w:qFormat/>
  </w:style>
  <w:style w:type="paragraph" w:customStyle="1" w:styleId="Wypeninoneniebieskim">
    <w:name w:val="Wypełninone niebieskim"/>
    <w:basedOn w:val="Wypenione"/>
    <w:qFormat/>
    <w:rPr>
      <w:color w:val="FFFFFF"/>
    </w:rPr>
  </w:style>
  <w:style w:type="paragraph" w:customStyle="1" w:styleId="Wypenionezielonym">
    <w:name w:val="Wypełnione zielonym"/>
    <w:basedOn w:val="Wypenione"/>
    <w:qFormat/>
    <w:rPr>
      <w:color w:val="FFFFFF"/>
    </w:rPr>
  </w:style>
  <w:style w:type="paragraph" w:customStyle="1" w:styleId="Wypenioneczerwonym">
    <w:name w:val="Wypełnione czerwonym"/>
    <w:basedOn w:val="Wypenione"/>
    <w:qFormat/>
    <w:rPr>
      <w:color w:val="FFFFFF"/>
    </w:rPr>
  </w:style>
  <w:style w:type="paragraph" w:customStyle="1" w:styleId="Wypenionetym">
    <w:name w:val="Wypełnione żółtym"/>
    <w:basedOn w:val="Wypenione"/>
    <w:qFormat/>
    <w:rPr>
      <w:color w:val="FFFFFF"/>
    </w:rPr>
  </w:style>
  <w:style w:type="paragraph" w:customStyle="1" w:styleId="Szkic">
    <w:name w:val="Szkic"/>
    <w:basedOn w:val="Ksztaty"/>
    <w:qFormat/>
  </w:style>
  <w:style w:type="paragraph" w:customStyle="1" w:styleId="Niebieskikonspekt">
    <w:name w:val="Niebieski konspekt"/>
    <w:basedOn w:val="Szkic"/>
    <w:qFormat/>
    <w:rPr>
      <w:color w:val="355269"/>
    </w:rPr>
  </w:style>
  <w:style w:type="paragraph" w:customStyle="1" w:styleId="Zielonykonspekt">
    <w:name w:val="Zielony konspekt"/>
    <w:basedOn w:val="Szkic"/>
    <w:qFormat/>
    <w:rPr>
      <w:color w:val="127622"/>
    </w:rPr>
  </w:style>
  <w:style w:type="paragraph" w:customStyle="1" w:styleId="Czerwonykonspekt">
    <w:name w:val="Czerwony konspekt"/>
    <w:basedOn w:val="Szkic"/>
    <w:qFormat/>
    <w:rPr>
      <w:color w:val="C9211E"/>
    </w:rPr>
  </w:style>
  <w:style w:type="paragraph" w:customStyle="1" w:styleId="tykonspekt">
    <w:name w:val="Żółty konspekt"/>
    <w:basedOn w:val="Szkic"/>
    <w:qFormat/>
    <w:rPr>
      <w:color w:val="B47804"/>
    </w:rPr>
  </w:style>
  <w:style w:type="paragraph" w:customStyle="1" w:styleId="Linie">
    <w:name w:val="Linie"/>
    <w:basedOn w:val="Grafika"/>
    <w:qFormat/>
  </w:style>
  <w:style w:type="paragraph" w:customStyle="1" w:styleId="Liniazestrzakami">
    <w:name w:val="Linia ze strzałkami"/>
    <w:basedOn w:val="Linie"/>
    <w:qFormat/>
  </w:style>
  <w:style w:type="paragraph" w:customStyle="1" w:styleId="Liniaprzerywana">
    <w:name w:val="Linia przerywana"/>
    <w:basedOn w:val="Linie"/>
    <w:qFormat/>
  </w:style>
  <w:style w:type="paragraph" w:customStyle="1" w:styleId="master-page3LTGliederung1">
    <w:name w:val="master-page3~LT~Gliederung 1"/>
    <w:qFormat/>
    <w:pPr>
      <w:spacing w:before="283" w:line="259" w:lineRule="auto"/>
    </w:pPr>
    <w:rPr>
      <w:rFonts w:ascii="Arial" w:eastAsia="Tahoma" w:hAnsi="Arial" w:cs="Noto Sans"/>
      <w:kern w:val="2"/>
      <w:sz w:val="63"/>
      <w:szCs w:val="24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pacing w:after="160" w:line="259" w:lineRule="auto"/>
      <w:jc w:val="center"/>
    </w:pPr>
    <w:rPr>
      <w:rFonts w:ascii="Arial" w:eastAsia="Tahoma" w:hAnsi="Arial" w:cs="Noto Sans"/>
      <w:kern w:val="2"/>
      <w:sz w:val="88"/>
      <w:szCs w:val="24"/>
    </w:rPr>
  </w:style>
  <w:style w:type="paragraph" w:customStyle="1" w:styleId="master-page3LTUntertitel">
    <w:name w:val="master-page3~LT~Untertitel"/>
    <w:qFormat/>
    <w:pPr>
      <w:spacing w:after="160" w:line="259" w:lineRule="auto"/>
      <w:jc w:val="center"/>
    </w:pPr>
    <w:rPr>
      <w:rFonts w:ascii="Arial" w:eastAsia="Tahoma" w:hAnsi="Arial" w:cs="Noto Sans"/>
      <w:kern w:val="2"/>
      <w:sz w:val="64"/>
      <w:szCs w:val="24"/>
    </w:rPr>
  </w:style>
  <w:style w:type="paragraph" w:customStyle="1" w:styleId="master-page3LTNotizen">
    <w:name w:val="master-page3~LT~Notizen"/>
    <w:qFormat/>
    <w:pPr>
      <w:spacing w:after="160" w:line="259" w:lineRule="auto"/>
      <w:ind w:left="340" w:hanging="340"/>
    </w:pPr>
    <w:rPr>
      <w:rFonts w:ascii="Arial" w:eastAsia="Tahoma" w:hAnsi="Arial" w:cs="Noto Sans"/>
      <w:kern w:val="2"/>
      <w:sz w:val="40"/>
      <w:szCs w:val="24"/>
    </w:rPr>
  </w:style>
  <w:style w:type="paragraph" w:customStyle="1" w:styleId="master-page3LTHintergrundobjekte">
    <w:name w:val="master-page3~LT~Hintergrundobjekte"/>
    <w:qFormat/>
    <w:pPr>
      <w:spacing w:after="160" w:line="259" w:lineRule="auto"/>
    </w:pPr>
    <w:rPr>
      <w:rFonts w:ascii="Liberation Serif" w:eastAsia="Tahoma" w:hAnsi="Liberation Serif" w:cs="Noto Sans"/>
      <w:kern w:val="2"/>
      <w:sz w:val="24"/>
      <w:szCs w:val="24"/>
    </w:rPr>
  </w:style>
  <w:style w:type="paragraph" w:customStyle="1" w:styleId="master-page3LTHintergrund">
    <w:name w:val="master-page3~LT~Hintergrund"/>
    <w:qFormat/>
    <w:pPr>
      <w:spacing w:after="160" w:line="259" w:lineRule="auto"/>
    </w:pPr>
    <w:rPr>
      <w:rFonts w:ascii="Liberation Serif" w:eastAsia="Tahoma" w:hAnsi="Liberation Serif" w:cs="Noto Sans"/>
      <w:kern w:val="2"/>
      <w:sz w:val="24"/>
      <w:szCs w:val="24"/>
    </w:rPr>
  </w:style>
  <w:style w:type="paragraph" w:customStyle="1" w:styleId="default">
    <w:name w:val="default"/>
    <w:qFormat/>
    <w:pPr>
      <w:spacing w:line="200" w:lineRule="atLeast"/>
    </w:pPr>
    <w:rPr>
      <w:rFonts w:ascii="Arial" w:eastAsia="Tahoma" w:hAnsi="Arial" w:cs="Noto Sans"/>
      <w:kern w:val="2"/>
      <w:sz w:val="36"/>
      <w:szCs w:val="24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iektyta">
    <w:name w:val="Obiekty tła"/>
    <w:qFormat/>
    <w:pPr>
      <w:spacing w:after="160" w:line="259" w:lineRule="auto"/>
    </w:pPr>
    <w:rPr>
      <w:rFonts w:ascii="Liberation Serif" w:eastAsia="Tahoma" w:hAnsi="Liberation Serif" w:cs="Noto Sans"/>
      <w:kern w:val="2"/>
      <w:sz w:val="24"/>
      <w:szCs w:val="24"/>
    </w:rPr>
  </w:style>
  <w:style w:type="paragraph" w:customStyle="1" w:styleId="To">
    <w:name w:val="Tło"/>
    <w:qFormat/>
    <w:pPr>
      <w:spacing w:after="160" w:line="259" w:lineRule="auto"/>
    </w:pPr>
    <w:rPr>
      <w:rFonts w:ascii="Liberation Serif" w:eastAsia="Tahoma" w:hAnsi="Liberation Serif" w:cs="Noto Sans"/>
      <w:kern w:val="2"/>
      <w:sz w:val="24"/>
      <w:szCs w:val="24"/>
    </w:rPr>
  </w:style>
  <w:style w:type="paragraph" w:customStyle="1" w:styleId="Notatki">
    <w:name w:val="Notatki"/>
    <w:qFormat/>
    <w:pPr>
      <w:spacing w:after="160" w:line="259" w:lineRule="auto"/>
      <w:ind w:left="340" w:hanging="340"/>
    </w:pPr>
    <w:rPr>
      <w:rFonts w:ascii="Arial" w:eastAsia="Tahoma" w:hAnsi="Arial" w:cs="Noto Sans"/>
      <w:kern w:val="2"/>
      <w:sz w:val="40"/>
      <w:szCs w:val="24"/>
    </w:rPr>
  </w:style>
  <w:style w:type="paragraph" w:customStyle="1" w:styleId="Konspekt1">
    <w:name w:val="Konspekt 1"/>
    <w:qFormat/>
    <w:pPr>
      <w:spacing w:before="283" w:line="259" w:lineRule="auto"/>
    </w:pPr>
    <w:rPr>
      <w:rFonts w:ascii="Arial" w:eastAsia="Tahoma" w:hAnsi="Arial" w:cs="Noto Sans"/>
      <w:kern w:val="2"/>
      <w:sz w:val="63"/>
      <w:szCs w:val="24"/>
    </w:rPr>
  </w:style>
  <w:style w:type="paragraph" w:customStyle="1" w:styleId="Konspekt2">
    <w:name w:val="Konspekt 2"/>
    <w:basedOn w:val="Konspekt1"/>
    <w:qFormat/>
    <w:pPr>
      <w:spacing w:before="227"/>
    </w:pPr>
    <w:rPr>
      <w:sz w:val="56"/>
    </w:rPr>
  </w:style>
  <w:style w:type="paragraph" w:customStyle="1" w:styleId="Konspekt3">
    <w:name w:val="Konspekt 3"/>
    <w:basedOn w:val="Konspekt2"/>
    <w:qFormat/>
    <w:pPr>
      <w:spacing w:before="170"/>
    </w:pPr>
    <w:rPr>
      <w:sz w:val="48"/>
    </w:rPr>
  </w:style>
  <w:style w:type="paragraph" w:customStyle="1" w:styleId="Konspekt4">
    <w:name w:val="Konspekt 4"/>
    <w:basedOn w:val="Konspekt3"/>
    <w:qFormat/>
    <w:pPr>
      <w:spacing w:before="113"/>
    </w:pPr>
    <w:rPr>
      <w:sz w:val="40"/>
    </w:rPr>
  </w:style>
  <w:style w:type="paragraph" w:customStyle="1" w:styleId="Konspekt5">
    <w:name w:val="Konspekt 5"/>
    <w:basedOn w:val="Konspekt4"/>
    <w:qFormat/>
    <w:pPr>
      <w:spacing w:before="57"/>
    </w:pPr>
  </w:style>
  <w:style w:type="paragraph" w:customStyle="1" w:styleId="Konspekt6">
    <w:name w:val="Konspekt 6"/>
    <w:basedOn w:val="Konspekt5"/>
    <w:qFormat/>
  </w:style>
  <w:style w:type="paragraph" w:customStyle="1" w:styleId="Konspekt7">
    <w:name w:val="Konspekt 7"/>
    <w:basedOn w:val="Konspekt6"/>
    <w:qFormat/>
  </w:style>
  <w:style w:type="paragraph" w:customStyle="1" w:styleId="Konspekt8">
    <w:name w:val="Konspekt 8"/>
    <w:basedOn w:val="Konspekt7"/>
    <w:qFormat/>
  </w:style>
  <w:style w:type="paragraph" w:customStyle="1" w:styleId="Konspekt9">
    <w:name w:val="Konspekt 9"/>
    <w:basedOn w:val="Konspekt8"/>
    <w:qFormat/>
  </w:style>
  <w:style w:type="paragraph" w:customStyle="1" w:styleId="master-page32LTGliederung1">
    <w:name w:val="master-page32~LT~Gliederung 1"/>
    <w:qFormat/>
    <w:pPr>
      <w:spacing w:before="283" w:line="259" w:lineRule="auto"/>
    </w:pPr>
    <w:rPr>
      <w:rFonts w:ascii="Arial" w:eastAsia="Tahoma" w:hAnsi="Arial" w:cs="Noto Sans"/>
      <w:kern w:val="2"/>
      <w:sz w:val="63"/>
      <w:szCs w:val="24"/>
    </w:rPr>
  </w:style>
  <w:style w:type="paragraph" w:customStyle="1" w:styleId="master-page32LTGliederung2">
    <w:name w:val="master-page32~LT~Gliederung 2"/>
    <w:basedOn w:val="master-page32LTGliederung1"/>
    <w:qFormat/>
    <w:pPr>
      <w:spacing w:before="227"/>
    </w:pPr>
    <w:rPr>
      <w:sz w:val="56"/>
    </w:rPr>
  </w:style>
  <w:style w:type="paragraph" w:customStyle="1" w:styleId="master-page32LTGliederung3">
    <w:name w:val="master-page32~LT~Gliederung 3"/>
    <w:basedOn w:val="master-page32LTGliederung2"/>
    <w:qFormat/>
    <w:pPr>
      <w:spacing w:before="170"/>
    </w:pPr>
    <w:rPr>
      <w:sz w:val="48"/>
    </w:rPr>
  </w:style>
  <w:style w:type="paragraph" w:customStyle="1" w:styleId="master-page32LTGliederung4">
    <w:name w:val="master-page32~LT~Gliederung 4"/>
    <w:basedOn w:val="master-page32LTGliederung3"/>
    <w:qFormat/>
    <w:pPr>
      <w:spacing w:before="113"/>
    </w:pPr>
    <w:rPr>
      <w:sz w:val="40"/>
    </w:rPr>
  </w:style>
  <w:style w:type="paragraph" w:customStyle="1" w:styleId="master-page32LTGliederung5">
    <w:name w:val="master-page32~LT~Gliederung 5"/>
    <w:basedOn w:val="master-page32LTGliederung4"/>
    <w:qFormat/>
    <w:pPr>
      <w:spacing w:before="57"/>
    </w:pPr>
  </w:style>
  <w:style w:type="paragraph" w:customStyle="1" w:styleId="master-page32LTGliederung6">
    <w:name w:val="master-page32~LT~Gliederung 6"/>
    <w:basedOn w:val="master-page32LTGliederung5"/>
    <w:qFormat/>
  </w:style>
  <w:style w:type="paragraph" w:customStyle="1" w:styleId="master-page32LTGliederung7">
    <w:name w:val="master-page32~LT~Gliederung 7"/>
    <w:basedOn w:val="master-page32LTGliederung6"/>
    <w:qFormat/>
  </w:style>
  <w:style w:type="paragraph" w:customStyle="1" w:styleId="master-page32LTGliederung8">
    <w:name w:val="master-page32~LT~Gliederung 8"/>
    <w:basedOn w:val="master-page32LTGliederung7"/>
    <w:qFormat/>
  </w:style>
  <w:style w:type="paragraph" w:customStyle="1" w:styleId="master-page32LTGliederung9">
    <w:name w:val="master-page32~LT~Gliederung 9"/>
    <w:basedOn w:val="master-page32LTGliederung8"/>
    <w:qFormat/>
  </w:style>
  <w:style w:type="paragraph" w:customStyle="1" w:styleId="master-page32LTTitel">
    <w:name w:val="master-page32~LT~Titel"/>
    <w:qFormat/>
    <w:pPr>
      <w:spacing w:after="160" w:line="259" w:lineRule="auto"/>
      <w:jc w:val="center"/>
    </w:pPr>
    <w:rPr>
      <w:rFonts w:ascii="Arial" w:eastAsia="Tahoma" w:hAnsi="Arial" w:cs="Noto Sans"/>
      <w:kern w:val="2"/>
      <w:sz w:val="88"/>
      <w:szCs w:val="24"/>
    </w:rPr>
  </w:style>
  <w:style w:type="paragraph" w:customStyle="1" w:styleId="master-page32LTUntertitel">
    <w:name w:val="master-page32~LT~Untertitel"/>
    <w:qFormat/>
    <w:pPr>
      <w:spacing w:after="160" w:line="259" w:lineRule="auto"/>
      <w:jc w:val="center"/>
    </w:pPr>
    <w:rPr>
      <w:rFonts w:ascii="Arial" w:eastAsia="Tahoma" w:hAnsi="Arial" w:cs="Noto Sans"/>
      <w:kern w:val="2"/>
      <w:sz w:val="64"/>
      <w:szCs w:val="24"/>
    </w:rPr>
  </w:style>
  <w:style w:type="paragraph" w:customStyle="1" w:styleId="master-page32LTNotizen">
    <w:name w:val="master-page32~LT~Notizen"/>
    <w:qFormat/>
    <w:pPr>
      <w:spacing w:after="160" w:line="259" w:lineRule="auto"/>
      <w:ind w:left="340" w:hanging="340"/>
    </w:pPr>
    <w:rPr>
      <w:rFonts w:ascii="Arial" w:eastAsia="Tahoma" w:hAnsi="Arial" w:cs="Noto Sans"/>
      <w:kern w:val="2"/>
      <w:sz w:val="40"/>
      <w:szCs w:val="24"/>
    </w:rPr>
  </w:style>
  <w:style w:type="paragraph" w:customStyle="1" w:styleId="master-page32LTHintergrundobjekte">
    <w:name w:val="master-page32~LT~Hintergrundobjekte"/>
    <w:qFormat/>
    <w:pPr>
      <w:spacing w:after="160" w:line="259" w:lineRule="auto"/>
    </w:pPr>
    <w:rPr>
      <w:rFonts w:ascii="Liberation Serif" w:eastAsia="Tahoma" w:hAnsi="Liberation Serif" w:cs="Noto Sans"/>
      <w:kern w:val="2"/>
      <w:sz w:val="24"/>
      <w:szCs w:val="24"/>
    </w:rPr>
  </w:style>
  <w:style w:type="paragraph" w:customStyle="1" w:styleId="master-page32LTHintergrund">
    <w:name w:val="master-page32~LT~Hintergrund"/>
    <w:qFormat/>
    <w:pPr>
      <w:spacing w:after="160" w:line="259" w:lineRule="auto"/>
    </w:pPr>
    <w:rPr>
      <w:rFonts w:ascii="Liberation Serif" w:eastAsia="Tahoma" w:hAnsi="Liberation Serif" w:cs="Noto Sans"/>
      <w:kern w:val="2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qFormat/>
    <w:rsid w:val="009B696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0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2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4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920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Sztokmański</dc:creator>
  <dc:description/>
  <cp:lastModifiedBy>Bartosz Kalinowski</cp:lastModifiedBy>
  <cp:revision>29</cp:revision>
  <dcterms:created xsi:type="dcterms:W3CDTF">2021-07-08T09:03:00Z</dcterms:created>
  <dcterms:modified xsi:type="dcterms:W3CDTF">2021-09-23T07:17:00Z</dcterms:modified>
  <dc:language>pl-PL</dc:language>
</cp:coreProperties>
</file>